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rms-embedBold.odttf" ContentType="application/vnd.openxmlformats-officedocument.obfuscatedFont"/>
  <Override PartName="/word/fonts/forms-embed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ascii="IBM Plex Sans Arabic" w:hAnsi="IBM Plex Sans Arabic" w:eastAsia="IBM Plex Sans Arabic" w:cs="IBM Plex Sans Arabic"/>
          <w:b/>
          <w:rtl w:val="1"/>
          <w:bCs w:val="1"/>
        </w:rPr>
        <w:t>مكتبة صيغ</w:t>
        <w:br/>
        <w:t>المرجع القانوني</w:t>
      </w:r>
    </w:p>
    <w:p>
      <w:pPr>
        <w:bidi w:val="1"/>
        <w:jc w:val="right"/>
      </w:pPr>
      <w:r>
        <w:rPr>
          <w:rFonts w:ascii="IBM Plex Sans Arabic" w:hAnsi="IBM Plex Sans Arabic" w:eastAsia="IBM Plex Sans Arabic" w:cs="IBM Plex Sans Arabic"/>
          <w:b w:val="0"/>
          <w:color w:val="4B2E22"/>
          <w:sz w:val="28"/>
          <w:rtl w:val="1"/>
          <w:szCs w:val="28"/>
        </w:rPr>
        <w:t>١٢ مقطعًا عمليًا مع السند وحدود الاستخدام</w:t>
      </w:r>
    </w:p>
    <w:p>
      <w:pPr>
        <w:bidi w:val="1"/>
        <w:jc w:val="right"/>
      </w:pPr>
      <w:r>
        <w:rPr>
          <w:rFonts w:ascii="IBM Plex Sans Arabic" w:hAnsi="IBM Plex Sans Arabic" w:eastAsia="IBM Plex Sans Arabic" w:cs="IBM Plex Sans Arabic"/>
          <w:b w:val="0"/>
          <w:rtl w:val="1"/>
        </w:rPr>
        <w:t>اختر الصيغة بحسب الواقعة، ثم استبدل الحقول بين الأقواس بما يثبته الملف. لا تنقل إلى قضية حقيقية اعترافًا أو تاريخًا أو مبلغًا لم تتحقق منه.</w:t>
      </w:r>
    </w:p>
    <w:p>
      <w:pPr>
        <w:bidi w:val="1"/>
        <w:jc w:val="right"/>
      </w:pPr>
      <w:r>
        <w:rPr>
          <w:rFonts w:ascii="IBM Plex Sans Arabic" w:hAnsi="IBM Plex Sans Arabic" w:eastAsia="IBM Plex Sans Arabic" w:cs="IBM Plex Sans Arabic"/>
          <w:b w:val="0"/>
          <w:rtl w:val="1"/>
        </w:rPr>
        <w:t>مقاطع تعليمية قابلة للتعديل، وليست صحائف أو اعتراضات مكتملة. تُراجع الصفة والاختصاص والميعاد والأحكام الخاصة قبل استخدامها.</w:t>
      </w:r>
    </w:p>
    <w:p>
      <w:pPr>
        <w:pStyle w:val="Heading2"/>
        <w:bidi w:val="1"/>
        <w:jc w:val="right"/>
      </w:pPr>
      <w:r>
        <w:rPr>
          <w:rFonts w:ascii="IBM Plex Sans Arabic" w:hAnsi="IBM Plex Sans Arabic" w:eastAsia="IBM Plex Sans Arabic" w:cs="IBM Plex Sans Arabic"/>
          <w:b/>
          <w:rtl w:val="1"/>
          <w:bCs w:val="1"/>
        </w:rPr>
        <w:t>طريقة استخدام الملحق</w:t>
      </w:r>
    </w:p>
    <w:p>
      <w:pPr>
        <w:bidi w:val="1"/>
        <w:jc w:val="right"/>
      </w:pPr>
      <w:r>
        <w:rPr>
          <w:rFonts w:ascii="IBM Plex Sans Arabic" w:hAnsi="IBM Plex Sans Arabic" w:eastAsia="IBM Plex Sans Arabic" w:cs="IBM Plex Sans Arabic"/>
          <w:b w:val="0"/>
          <w:rtl w:val="1"/>
        </w:rPr>
        <w:t>اقرأ الغرض والتنبيه قبل نسخ المقطع. أضف البيانات والمرفقات والأسباب اللازمة للمذكرة كاملة، وراجع النص النافذ واللوائح الخاصة بجهة الفصل وطريق الاعتراض. لا تخلط بين طلب وقف الحكم في الاعتراض ووقف قرار إداري أو منازعة تنفيذ.</w:t>
      </w:r>
    </w:p>
    <w:p>
      <w:pPr>
        <w:pStyle w:val="Heading2"/>
        <w:bidi w:val="1"/>
        <w:jc w:val="right"/>
      </w:pPr>
      <w:r>
        <w:rPr>
          <w:rFonts w:ascii="IBM Plex Sans Arabic" w:hAnsi="IBM Plex Sans Arabic" w:eastAsia="IBM Plex Sans Arabic" w:cs="IBM Plex Sans Arabic"/>
          <w:b/>
          <w:rtl w:val="1"/>
          <w:bCs w:val="1"/>
        </w:rPr>
        <w:t>المحتويات</w:t>
      </w:r>
    </w:p>
    <w:p>
      <w:pPr>
        <w:bidi w:val="1"/>
        <w:jc w:val="right"/>
      </w:pPr>
      <w:r>
        <w:rPr>
          <w:rFonts w:ascii="IBM Plex Sans Arabic" w:hAnsi="IBM Plex Sans Arabic" w:eastAsia="IBM Plex Sans Arabic" w:cs="IBM Plex Sans Arabic"/>
          <w:b w:val="0"/>
          <w:rtl w:val="1"/>
        </w:rPr>
      </w:r>
      <w:r>
        <w:rPr>
          <w:rFonts w:ascii="IBM Plex Sans Arabic" w:hAnsi="IBM Plex Sans Arabic" w:eastAsia="IBM Plex Sans Arabic" w:cs="IBM Plex Sans Arabic"/>
          <w:b/>
          <w:rtl w:val="1"/>
          <w:bCs w:val="1"/>
        </w:rPr>
        <w:t xml:space="preserve">افتتاحيات: </w:t>
      </w:r>
      <w:r>
        <w:rPr>
          <w:rFonts w:ascii="IBM Plex Sans Arabic" w:hAnsi="IBM Plex Sans Arabic" w:eastAsia="IBM Plex Sans Arabic" w:cs="IBM Plex Sans Arabic"/>
          <w:b w:val="0"/>
          <w:rtl w:val="1"/>
        </w:rPr>
        <w:t>مطالبة بباقي ثمن، طلب تنفيذ التزام تعاقدي، جواب يحدد نقطة الخلاف.</w:t>
      </w:r>
    </w:p>
    <w:p>
      <w:pPr>
        <w:bidi w:val="1"/>
        <w:jc w:val="right"/>
      </w:pPr>
      <w:r>
        <w:rPr>
          <w:rFonts w:ascii="IBM Plex Sans Arabic" w:hAnsi="IBM Plex Sans Arabic" w:eastAsia="IBM Plex Sans Arabic" w:cs="IBM Plex Sans Arabic"/>
          <w:b w:val="0"/>
          <w:rtl w:val="1"/>
        </w:rPr>
      </w:r>
      <w:r>
        <w:rPr>
          <w:rFonts w:ascii="IBM Plex Sans Arabic" w:hAnsi="IBM Plex Sans Arabic" w:eastAsia="IBM Plex Sans Arabic" w:cs="IBM Plex Sans Arabic"/>
          <w:b/>
          <w:rtl w:val="1"/>
          <w:bCs w:val="1"/>
        </w:rPr>
        <w:t xml:space="preserve">طلبات: </w:t>
      </w:r>
      <w:r>
        <w:rPr>
          <w:rFonts w:ascii="IBM Plex Sans Arabic" w:hAnsi="IBM Plex Sans Arabic" w:eastAsia="IBM Plex Sans Arabic" w:cs="IBM Plex Sans Arabic"/>
          <w:b w:val="0"/>
          <w:rtl w:val="1"/>
        </w:rPr>
        <w:t>طلب ندب خبير، طلب تقديم أصل دليل رقمي، طلب وقف تنفيذ الحكم.</w:t>
      </w:r>
    </w:p>
    <w:p>
      <w:pPr>
        <w:bidi w:val="1"/>
        <w:jc w:val="right"/>
      </w:pPr>
      <w:r>
        <w:rPr>
          <w:rFonts w:ascii="IBM Plex Sans Arabic" w:hAnsi="IBM Plex Sans Arabic" w:eastAsia="IBM Plex Sans Arabic" w:cs="IBM Plex Sans Arabic"/>
          <w:b w:val="0"/>
          <w:rtl w:val="1"/>
        </w:rPr>
      </w:r>
      <w:r>
        <w:rPr>
          <w:rFonts w:ascii="IBM Plex Sans Arabic" w:hAnsi="IBM Plex Sans Arabic" w:eastAsia="IBM Plex Sans Arabic" w:cs="IBM Plex Sans Arabic"/>
          <w:b/>
          <w:rtl w:val="1"/>
          <w:bCs w:val="1"/>
        </w:rPr>
        <w:t xml:space="preserve">دفوع: </w:t>
      </w:r>
      <w:r>
        <w:rPr>
          <w:rFonts w:ascii="IBM Plex Sans Arabic" w:hAnsi="IBM Plex Sans Arabic" w:eastAsia="IBM Plex Sans Arabic" w:cs="IBM Plex Sans Arabic"/>
          <w:b w:val="0"/>
          <w:rtl w:val="1"/>
        </w:rPr>
        <w:t>دفع بعدم الاختصاص المكاني، دفع بعدم قبول الدعوى لانعدام الصفة، دفع بالسداد الجزئي.</w:t>
      </w:r>
    </w:p>
    <w:p>
      <w:pPr>
        <w:bidi w:val="1"/>
        <w:jc w:val="right"/>
      </w:pPr>
      <w:r>
        <w:rPr>
          <w:rFonts w:ascii="IBM Plex Sans Arabic" w:hAnsi="IBM Plex Sans Arabic" w:eastAsia="IBM Plex Sans Arabic" w:cs="IBM Plex Sans Arabic"/>
          <w:b w:val="0"/>
          <w:rtl w:val="1"/>
        </w:rPr>
      </w:r>
      <w:r>
        <w:rPr>
          <w:rFonts w:ascii="IBM Plex Sans Arabic" w:hAnsi="IBM Plex Sans Arabic" w:eastAsia="IBM Plex Sans Arabic" w:cs="IBM Plex Sans Arabic"/>
          <w:b/>
          <w:rtl w:val="1"/>
          <w:bCs w:val="1"/>
        </w:rPr>
        <w:t xml:space="preserve">اعتراضات: </w:t>
      </w:r>
      <w:r>
        <w:rPr>
          <w:rFonts w:ascii="IBM Plex Sans Arabic" w:hAnsi="IBM Plex Sans Arabic" w:eastAsia="IBM Plex Sans Arabic" w:cs="IBM Plex Sans Arabic"/>
          <w:b w:val="0"/>
          <w:rtl w:val="1"/>
        </w:rPr>
        <w:t>سبب اعتراض على حساب المبلغ، سبب اعتراض متعلق بدفع جوهري، تقديم دليل جديد في الاستئناف.</w:t>
      </w:r>
    </w:p>
    <w:p>
      <w:pPr>
        <w:bidi w:val="1"/>
        <w:jc w:val="right"/>
      </w:pPr>
      <w:r>
        <w:rPr>
          <w:rFonts w:ascii="IBM Plex Sans Arabic" w:hAnsi="IBM Plex Sans Arabic" w:eastAsia="IBM Plex Sans Arabic" w:cs="IBM Plex Sans Arabic"/>
          <w:b w:val="0"/>
          <w:color w:val="6B6059"/>
          <w:sz w:val="19"/>
          <w:rtl w:val="1"/>
          <w:szCs w:val="19"/>
        </w:rPr>
        <w:t>مراجعة النصوص لهذه النسخة في ٤ أكتوبر ٢٠٢٦. الصيغ تعليمية، وليست ضمانًا لقبول الطلب أو كسب الدعوى.</w:t>
      </w:r>
    </w:p>
    <w:p>
      <w:pPr>
        <w:keepNext/>
        <w:pageBreakBefore/>
        <w:bidi w:val="1"/>
        <w:jc w:val="right"/>
      </w:pPr>
      <w:r>
        <w:rPr>
          <w:rFonts w:ascii="IBM Plex Sans Arabic" w:hAnsi="IBM Plex Sans Arabic" w:eastAsia="IBM Plex Sans Arabic" w:cs="IBM Plex Sans Arabic"/>
          <w:b w:val="0"/>
          <w:color w:val="4B2E22"/>
          <w:sz w:val="20"/>
          <w:rtl w:val="1"/>
          <w:szCs w:val="20"/>
        </w:rPr>
        <w:t>افتتاحيات  ·  ١</w:t>
      </w:r>
    </w:p>
    <w:p>
      <w:pPr>
        <w:pStyle w:val="Heading1"/>
        <w:bidi w:val="1"/>
        <w:jc w:val="right"/>
      </w:pPr>
      <w:r>
        <w:rPr>
          <w:rFonts w:ascii="IBM Plex Sans Arabic" w:hAnsi="IBM Plex Sans Arabic" w:eastAsia="IBM Plex Sans Arabic" w:cs="IBM Plex Sans Arabic"/>
          <w:b/>
          <w:rtl w:val="1"/>
          <w:bCs w:val="1"/>
        </w:rPr>
        <w:t>مطالبة بباقي ثمن</w:t>
      </w:r>
    </w:p>
    <w:p>
      <w:pPr>
        <w:bidi w:val="1"/>
        <w:jc w:val="right"/>
      </w:pPr>
      <w:r>
        <w:rPr>
          <w:rFonts w:ascii="IBM Plex Sans Arabic" w:hAnsi="IBM Plex Sans Arabic" w:eastAsia="IBM Plex Sans Arabic" w:cs="IBM Plex Sans Arabic"/>
          <w:b w:val="0"/>
          <w:color w:val="6B6059"/>
          <w:rtl w:val="1"/>
        </w:rPr>
        <w:t>لبناء متن مطالبة مالية بعد مطابقة العقد والتسليم والدفعات.</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اتفق المدعي مع المدعى عليه بتاريخ [التاريخ] على بيع [المبيع] بثمن قدره [الثمن] ريال، وفق المستند رقم [الرقم]. وسُلّم المبيع بموجب [دليل التسليم]. وقد سدد المدعى عليه [المدفوع] ريال، واتُّفق على تخفيض قدره [التخفيض] ريال، فيبقى [المتبقي] ريال مستحقًا بتاريخ [التاريخ] لم يُسدَّد. لذلك نطلب إلزام المدعى عليه بسداد المتبقي، وفق الحساب والمستندات المرفقة.</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لا تثبت استحقاق الدين بالتحويل وحده. أضف بيانات الصحيفة والخصوم والممثل، وتحقق من حلول الأجل ونوع العقد.</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1">
        <w:r>
          <w:rPr>
            <w:rFonts w:ascii="IBM Plex Sans Arabic" w:hAnsi="IBM Plex Sans Arabic" w:eastAsia="IBM Plex Sans Arabic" w:cs="IBM Plex Sans Arabic"/>
            <w:color w:val="4B2E22"/>
            <w:sz w:val="19"/>
            <w:szCs w:val="19"/>
            <w:rtl w:val="1"/>
          </w:rPr>
          <w:t>نظام المرافعات الشرعية — المادة ٤١</w:t>
        </w:r>
      </w:hyperlink>
    </w:p>
    <w:p>
      <w:pPr>
        <w:bidi w:val="1"/>
        <w:spacing w:after="100"/>
        <w:jc w:val="right"/>
      </w:pPr>
      <w:r>
        <w:rPr>
          <w:rFonts w:ascii="IBM Plex Sans Arabic" w:hAnsi="IBM Plex Sans Arabic" w:eastAsia="IBM Plex Sans Arabic" w:cs="IBM Plex Sans Arabic"/>
          <w:b w:val="0"/>
          <w:color w:val="6B6059"/>
          <w:sz w:val="19"/>
          <w:rtl w:val="1"/>
          <w:szCs w:val="19"/>
        </w:rPr>
        <w:t>بيانات صحيفة الدعوى في نطاق تطبيق النظام.</w:t>
      </w:r>
    </w:p>
    <w:p>
      <w:pPr>
        <w:keepNext/>
        <w:bidi w:val="1"/>
        <w:spacing w:after="100"/>
        <w:jc w:val="right"/>
      </w:pPr>
      <w:r>
        <w:rPr>
          <w:rFonts w:ascii="IBM Plex Sans Arabic" w:hAnsi="IBM Plex Sans Arabic" w:eastAsia="IBM Plex Sans Arabic" w:cs="IBM Plex Sans Arabic"/>
          <w:b w:val="0"/>
          <w:rtl w:val="1"/>
        </w:rPr>
      </w:r>
      <w:hyperlink r:id="rId12">
        <w:r>
          <w:rPr>
            <w:rFonts w:ascii="IBM Plex Sans Arabic" w:hAnsi="IBM Plex Sans Arabic" w:eastAsia="IBM Plex Sans Arabic" w:cs="IBM Plex Sans Arabic"/>
            <w:color w:val="4B2E22"/>
            <w:sz w:val="19"/>
            <w:szCs w:val="19"/>
            <w:rtl w:val="1"/>
          </w:rPr>
          <w:t>نظام المعاملات المدنية — المادة ٩٤</w:t>
        </w:r>
      </w:hyperlink>
    </w:p>
    <w:p>
      <w:pPr>
        <w:bidi w:val="1"/>
        <w:spacing w:after="100"/>
        <w:jc w:val="right"/>
      </w:pPr>
      <w:r>
        <w:rPr>
          <w:rFonts w:ascii="IBM Plex Sans Arabic" w:hAnsi="IBM Plex Sans Arabic" w:eastAsia="IBM Plex Sans Arabic" w:cs="IBM Plex Sans Arabic"/>
          <w:b w:val="0"/>
          <w:color w:val="6B6059"/>
          <w:sz w:val="19"/>
          <w:rtl w:val="1"/>
          <w:szCs w:val="19"/>
        </w:rPr>
        <w:t>القوة الملزمة للعقد الصحيح؛ لا تغني عن إثبات التنفيذ والاستحقاق.</w:t>
      </w:r>
    </w:p>
    <w:p>
      <w:pPr>
        <w:keepNext/>
        <w:pageBreakBefore/>
        <w:bidi w:val="1"/>
        <w:jc w:val="right"/>
      </w:pPr>
      <w:r>
        <w:rPr>
          <w:rFonts w:ascii="IBM Plex Sans Arabic" w:hAnsi="IBM Plex Sans Arabic" w:eastAsia="IBM Plex Sans Arabic" w:cs="IBM Plex Sans Arabic"/>
          <w:b w:val="0"/>
          <w:color w:val="4B2E22"/>
          <w:sz w:val="20"/>
          <w:rtl w:val="1"/>
          <w:szCs w:val="20"/>
        </w:rPr>
        <w:t>افتتاحيات  ·  ٢</w:t>
      </w:r>
    </w:p>
    <w:p>
      <w:pPr>
        <w:pStyle w:val="Heading1"/>
        <w:bidi w:val="1"/>
        <w:jc w:val="right"/>
      </w:pPr>
      <w:r>
        <w:rPr>
          <w:rFonts w:ascii="IBM Plex Sans Arabic" w:hAnsi="IBM Plex Sans Arabic" w:eastAsia="IBM Plex Sans Arabic" w:cs="IBM Plex Sans Arabic"/>
          <w:b/>
          <w:rtl w:val="1"/>
          <w:bCs w:val="1"/>
        </w:rPr>
        <w:t>طلب تنفيذ التزام تعاقدي</w:t>
      </w:r>
    </w:p>
    <w:p>
      <w:pPr>
        <w:bidi w:val="1"/>
        <w:jc w:val="right"/>
      </w:pPr>
      <w:r>
        <w:rPr>
          <w:rFonts w:ascii="IBM Plex Sans Arabic" w:hAnsi="IBM Plex Sans Arabic" w:eastAsia="IBM Plex Sans Arabic" w:cs="IBM Plex Sans Arabic"/>
          <w:b w:val="0"/>
          <w:color w:val="6B6059"/>
          <w:rtl w:val="1"/>
        </w:rPr>
        <w:t>عند اختيار التنفيذ بدل فسخ العقد، بعد التحقق من شروطه.</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يلتزم المدعى عليه بموجب البند [الرقم] من عقد [اسم العقد] بتنفيذ [الالتزام] في موعد [التاريخ]. وقد نفذ المدعي ما يقابله من التزام بموجب [الدليل]، إلا أن المدعى عليه لم ينفذ [وجه الإخلال]. وأُعذر بتاريخ [التاريخ] بواسطة [الوسيلة والدليل]. لذلك نطلب إلزامه بتنفيذ [العمل المطلوب تحديدًا] وفق العقد، مع بيان أساس كل طلب إضافي على حدة.</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تتناول المادة ١٠٧ العقود الملزمة للجانبين وشروط طلب التنفيذ أو الفسخ. لا تدّع الإعذار إن لم يحصل، وافحص أحكامه واستثناءاته وإمكان التنفيذ.</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2">
        <w:r>
          <w:rPr>
            <w:rFonts w:ascii="IBM Plex Sans Arabic" w:hAnsi="IBM Plex Sans Arabic" w:eastAsia="IBM Plex Sans Arabic" w:cs="IBM Plex Sans Arabic"/>
            <w:color w:val="4B2E22"/>
            <w:sz w:val="19"/>
            <w:szCs w:val="19"/>
            <w:rtl w:val="1"/>
          </w:rPr>
          <w:t>نظام المعاملات المدنية — المادة ١٠٧</w:t>
        </w:r>
      </w:hyperlink>
    </w:p>
    <w:p>
      <w:pPr>
        <w:bidi w:val="1"/>
        <w:spacing w:after="100"/>
        <w:jc w:val="right"/>
      </w:pPr>
      <w:r>
        <w:rPr>
          <w:rFonts w:ascii="IBM Plex Sans Arabic" w:hAnsi="IBM Plex Sans Arabic" w:eastAsia="IBM Plex Sans Arabic" w:cs="IBM Plex Sans Arabic"/>
          <w:b w:val="0"/>
          <w:color w:val="6B6059"/>
          <w:sz w:val="19"/>
          <w:rtl w:val="1"/>
          <w:szCs w:val="19"/>
        </w:rPr>
        <w:t>التنفيذ أو الفسخ بسبب عدم الوفاء في العقود الملزمة للجانبين، بعد الإعذار وبحسب الشروط.</w:t>
      </w:r>
    </w:p>
    <w:p>
      <w:pPr>
        <w:keepNext/>
        <w:pageBreakBefore/>
        <w:bidi w:val="1"/>
        <w:jc w:val="right"/>
      </w:pPr>
      <w:r>
        <w:rPr>
          <w:rFonts w:ascii="IBM Plex Sans Arabic" w:hAnsi="IBM Plex Sans Arabic" w:eastAsia="IBM Plex Sans Arabic" w:cs="IBM Plex Sans Arabic"/>
          <w:b w:val="0"/>
          <w:color w:val="4B2E22"/>
          <w:sz w:val="20"/>
          <w:rtl w:val="1"/>
          <w:szCs w:val="20"/>
        </w:rPr>
        <w:t>افتتاحيات  ·  ٣</w:t>
      </w:r>
    </w:p>
    <w:p>
      <w:pPr>
        <w:pStyle w:val="Heading1"/>
        <w:bidi w:val="1"/>
        <w:jc w:val="right"/>
      </w:pPr>
      <w:r>
        <w:rPr>
          <w:rFonts w:ascii="IBM Plex Sans Arabic" w:hAnsi="IBM Plex Sans Arabic" w:eastAsia="IBM Plex Sans Arabic" w:cs="IBM Plex Sans Arabic"/>
          <w:b/>
          <w:rtl w:val="1"/>
          <w:bCs w:val="1"/>
        </w:rPr>
        <w:t>جواب يحدد نقطة الخلاف</w:t>
      </w:r>
    </w:p>
    <w:p>
      <w:pPr>
        <w:bidi w:val="1"/>
        <w:jc w:val="right"/>
      </w:pPr>
      <w:r>
        <w:rPr>
          <w:rFonts w:ascii="IBM Plex Sans Arabic" w:hAnsi="IBM Plex Sans Arabic" w:eastAsia="IBM Plex Sans Arabic" w:cs="IBM Plex Sans Arabic"/>
          <w:b w:val="0"/>
          <w:color w:val="6B6059"/>
          <w:rtl w:val="1"/>
        </w:rPr>
        <w:t>لتجنب الإنكار العام أو تكرار الدعوى كلها.</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تنحصر نقطة الخلاف في [الواقعة المختلف عليها]. أما [الواقعة غير المختلف عليها] فلا ينازع فيها المدعى عليه. ويدفع بأن [الجواب المحدد]؛ ويؤيده المستند رقم [الرقم] الذي يثبت [وجه الدلالة]. وبناء عليه نطلب [الطلب المرتبط بالدفع] في حدود ما يثبته هذا المستند.</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حذف أو تعديل عبارة عدم المنازعة إذا لم يقصد الموكل إقرار الواقعة؛ للإقرار القضائي أثر ملزم على صاحبه.</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3">
        <w:r>
          <w:rPr>
            <w:rFonts w:ascii="IBM Plex Sans Arabic" w:hAnsi="IBM Plex Sans Arabic" w:eastAsia="IBM Plex Sans Arabic" w:cs="IBM Plex Sans Arabic"/>
            <w:color w:val="4B2E22"/>
            <w:sz w:val="19"/>
            <w:szCs w:val="19"/>
            <w:rtl w:val="1"/>
          </w:rPr>
          <w:t>نظام الإثبات — المواد ٢ و١٤ و١٧ و١٨</w:t>
        </w:r>
      </w:hyperlink>
    </w:p>
    <w:p>
      <w:pPr>
        <w:bidi w:val="1"/>
        <w:spacing w:after="100"/>
        <w:jc w:val="right"/>
      </w:pPr>
      <w:r>
        <w:rPr>
          <w:rFonts w:ascii="IBM Plex Sans Arabic" w:hAnsi="IBM Plex Sans Arabic" w:eastAsia="IBM Plex Sans Arabic" w:cs="IBM Plex Sans Arabic"/>
          <w:b w:val="0"/>
          <w:color w:val="6B6059"/>
          <w:sz w:val="19"/>
          <w:rtl w:val="1"/>
          <w:szCs w:val="19"/>
        </w:rPr>
        <w:t>إثبات الحق ونفيه، وتعريف الإقرار القضائي وحجيته وعدم قبول الرجوع عنه.</w:t>
      </w:r>
    </w:p>
    <w:p>
      <w:pPr>
        <w:keepNext/>
        <w:pageBreakBefore/>
        <w:bidi w:val="1"/>
        <w:jc w:val="right"/>
      </w:pPr>
      <w:r>
        <w:rPr>
          <w:rFonts w:ascii="IBM Plex Sans Arabic" w:hAnsi="IBM Plex Sans Arabic" w:eastAsia="IBM Plex Sans Arabic" w:cs="IBM Plex Sans Arabic"/>
          <w:b w:val="0"/>
          <w:color w:val="4B2E22"/>
          <w:sz w:val="20"/>
          <w:rtl w:val="1"/>
          <w:szCs w:val="20"/>
        </w:rPr>
        <w:t>طلبات  ·  ٤</w:t>
      </w:r>
    </w:p>
    <w:p>
      <w:pPr>
        <w:pStyle w:val="Heading1"/>
        <w:bidi w:val="1"/>
        <w:jc w:val="right"/>
      </w:pPr>
      <w:r>
        <w:rPr>
          <w:rFonts w:ascii="IBM Plex Sans Arabic" w:hAnsi="IBM Plex Sans Arabic" w:eastAsia="IBM Plex Sans Arabic" w:cs="IBM Plex Sans Arabic"/>
          <w:b/>
          <w:rtl w:val="1"/>
          <w:bCs w:val="1"/>
        </w:rPr>
        <w:t>طلب ندب خبير</w:t>
      </w:r>
    </w:p>
    <w:p>
      <w:pPr>
        <w:bidi w:val="1"/>
        <w:jc w:val="right"/>
      </w:pPr>
      <w:r>
        <w:rPr>
          <w:rFonts w:ascii="IBM Plex Sans Arabic" w:hAnsi="IBM Plex Sans Arabic" w:eastAsia="IBM Plex Sans Arabic" w:cs="IBM Plex Sans Arabic"/>
          <w:b w:val="0"/>
          <w:color w:val="6B6059"/>
          <w:rtl w:val="1"/>
        </w:rPr>
        <w:t>عندما تتوقف مسألة منتجة في الدعوى على معرفة فنية.</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تتوقف معرفة [المسألة الفنية] على فحص [الأعمال أو المستندات]. لذلك نطلب ندب خبير مختص بـ[التخصص]، تكون مهمته: [المهمة الأولى]، و[المهمة الثانية]، وبيان [طريقة الحساب أو النتيجة الفنية] وأسسها، مع تمكين الأطراف من تقديم ما يتعلق بالمهمة.</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حدد مهمة فنية لا تكليفًا بالفصل في الاستحقاق القانوني. الندب من سلطة المحكمة، ورأي الخبير لا يقيدها، مع مراعاة اتفاق الخصوم على قبول نتيجته وأحكام المادة ١٢١.</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3">
        <w:r>
          <w:rPr>
            <w:rFonts w:ascii="IBM Plex Sans Arabic" w:hAnsi="IBM Plex Sans Arabic" w:eastAsia="IBM Plex Sans Arabic" w:cs="IBM Plex Sans Arabic"/>
            <w:color w:val="4B2E22"/>
            <w:sz w:val="19"/>
            <w:szCs w:val="19"/>
            <w:rtl w:val="1"/>
          </w:rPr>
          <w:t>نظام الإثبات — المواد ١١٠ و١١١ و١٢١</w:t>
        </w:r>
      </w:hyperlink>
    </w:p>
    <w:p>
      <w:pPr>
        <w:bidi w:val="1"/>
        <w:spacing w:after="100"/>
        <w:jc w:val="right"/>
      </w:pPr>
      <w:r>
        <w:rPr>
          <w:rFonts w:ascii="IBM Plex Sans Arabic" w:hAnsi="IBM Plex Sans Arabic" w:eastAsia="IBM Plex Sans Arabic" w:cs="IBM Plex Sans Arabic"/>
          <w:b w:val="0"/>
          <w:color w:val="6B6059"/>
          <w:sz w:val="19"/>
          <w:rtl w:val="1"/>
          <w:szCs w:val="19"/>
        </w:rPr>
        <w:t>ندب الخبراء وتحديد المهمة وأثر رأي الخبير.</w:t>
      </w:r>
    </w:p>
    <w:p>
      <w:pPr>
        <w:keepNext/>
        <w:pageBreakBefore/>
        <w:bidi w:val="1"/>
        <w:jc w:val="right"/>
      </w:pPr>
      <w:r>
        <w:rPr>
          <w:rFonts w:ascii="IBM Plex Sans Arabic" w:hAnsi="IBM Plex Sans Arabic" w:eastAsia="IBM Plex Sans Arabic" w:cs="IBM Plex Sans Arabic"/>
          <w:b w:val="0"/>
          <w:color w:val="4B2E22"/>
          <w:sz w:val="20"/>
          <w:rtl w:val="1"/>
          <w:szCs w:val="20"/>
        </w:rPr>
        <w:t>طلبات  ·  ٥</w:t>
      </w:r>
    </w:p>
    <w:p>
      <w:pPr>
        <w:pStyle w:val="Heading1"/>
        <w:bidi w:val="1"/>
        <w:jc w:val="right"/>
      </w:pPr>
      <w:r>
        <w:rPr>
          <w:rFonts w:ascii="IBM Plex Sans Arabic" w:hAnsi="IBM Plex Sans Arabic" w:eastAsia="IBM Plex Sans Arabic" w:cs="IBM Plex Sans Arabic"/>
          <w:b/>
          <w:rtl w:val="1"/>
          <w:bCs w:val="1"/>
        </w:rPr>
        <w:t>طلب تقديم أصل دليل رقمي</w:t>
      </w:r>
    </w:p>
    <w:p>
      <w:pPr>
        <w:bidi w:val="1"/>
        <w:jc w:val="right"/>
      </w:pPr>
      <w:r>
        <w:rPr>
          <w:rFonts w:ascii="IBM Plex Sans Arabic" w:hAnsi="IBM Plex Sans Arabic" w:eastAsia="IBM Plex Sans Arabic" w:cs="IBM Plex Sans Arabic"/>
          <w:b w:val="0"/>
          <w:color w:val="6B6059"/>
          <w:rtl w:val="1"/>
        </w:rPr>
        <w:t>عند الحاجة إلى فحص دليل رقمي مقدم في صورة أو مقتطف.</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استند الطرف الآخر إلى [الرسالة أو السجل الرقمي] في إثبات [الواقعة]. والمقدم حاليًا هو [صورة أو مقتطف] لا يوضح [الجزء الناقص]. لذلك نطلب تقديم الدليل الرقمي بهيئته الأصلية، أو بالوسيلة الرقمية التي تراها المحكمة مناسبة، لتمكين فحص [المسألة المحددة] وعلاقته بالواقعة محل النزاع.</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بيّن ما يحتاج إلى فحص تحديدًا. لا تتعامل مع الصورة باعتبارها مزورة أو عديمة الحجية تلقائيًا، ولا تطلب بيانات لا صلة لها بالدعوى.</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3">
        <w:r>
          <w:rPr>
            <w:rFonts w:ascii="IBM Plex Sans Arabic" w:hAnsi="IBM Plex Sans Arabic" w:eastAsia="IBM Plex Sans Arabic" w:cs="IBM Plex Sans Arabic"/>
            <w:color w:val="4B2E22"/>
            <w:sz w:val="19"/>
            <w:szCs w:val="19"/>
            <w:rtl w:val="1"/>
          </w:rPr>
          <w:t>نظام الإثبات — المادة ٦٠</w:t>
        </w:r>
      </w:hyperlink>
    </w:p>
    <w:p>
      <w:pPr>
        <w:bidi w:val="1"/>
        <w:spacing w:after="100"/>
        <w:jc w:val="right"/>
      </w:pPr>
      <w:r>
        <w:rPr>
          <w:rFonts w:ascii="IBM Plex Sans Arabic" w:hAnsi="IBM Plex Sans Arabic" w:eastAsia="IBM Plex Sans Arabic" w:cs="IBM Plex Sans Arabic"/>
          <w:b w:val="0"/>
          <w:color w:val="6B6059"/>
          <w:sz w:val="19"/>
          <w:rtl w:val="1"/>
          <w:szCs w:val="19"/>
        </w:rPr>
        <w:t>طريقة تقديم الدليل الرقمي، بما فيها هيئته الأصلية أو وسيلة رقمية أخرى.</w:t>
      </w:r>
    </w:p>
    <w:p>
      <w:pPr>
        <w:keepNext/>
        <w:pageBreakBefore/>
        <w:bidi w:val="1"/>
        <w:jc w:val="right"/>
      </w:pPr>
      <w:r>
        <w:rPr>
          <w:rFonts w:ascii="IBM Plex Sans Arabic" w:hAnsi="IBM Plex Sans Arabic" w:eastAsia="IBM Plex Sans Arabic" w:cs="IBM Plex Sans Arabic"/>
          <w:b w:val="0"/>
          <w:color w:val="4B2E22"/>
          <w:sz w:val="20"/>
          <w:rtl w:val="1"/>
          <w:szCs w:val="20"/>
        </w:rPr>
        <w:t>طلبات  ·  ٦</w:t>
      </w:r>
    </w:p>
    <w:p>
      <w:pPr>
        <w:pStyle w:val="Heading1"/>
        <w:bidi w:val="1"/>
        <w:jc w:val="right"/>
      </w:pPr>
      <w:r>
        <w:rPr>
          <w:rFonts w:ascii="IBM Plex Sans Arabic" w:hAnsi="IBM Plex Sans Arabic" w:eastAsia="IBM Plex Sans Arabic" w:cs="IBM Plex Sans Arabic"/>
          <w:b/>
          <w:rtl w:val="1"/>
          <w:bCs w:val="1"/>
        </w:rPr>
        <w:t>طلب وقف تنفيذ الحكم</w:t>
      </w:r>
    </w:p>
    <w:p>
      <w:pPr>
        <w:bidi w:val="1"/>
        <w:jc w:val="right"/>
      </w:pPr>
      <w:r>
        <w:rPr>
          <w:rFonts w:ascii="IBM Plex Sans Arabic" w:hAnsi="IBM Plex Sans Arabic" w:eastAsia="IBM Plex Sans Arabic" w:cs="IBM Plex Sans Arabic"/>
          <w:b w:val="0"/>
          <w:color w:val="6B6059"/>
          <w:rtl w:val="1"/>
        </w:rPr>
        <w:t>في الاعتراضات الخاضعة للائحة التنفيذية لطرق الاعتراض على الأحكام، بعد التحقق من أساس الوقف وشروطه.</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نطلب وقف تنفيذ الحكم رقم [الرقم] بتاريخ [التاريخ] في القضية رقم [الرقم]، وذلك لأن تنفيذه قبل الفصل في الاعتراض يترتب عليه [الآثار المحددة]، كما تؤيده [المستندات]. ويُقدم الطلب خلال مدة الاعتراض، مع بيان وجه ارتباط أسبابه بالحكم المعترض عليه، وبحسب الأحكام المنظمة لوقف التنفيذ في طريق الاعتراض المختار.</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المادة ١١ تنظم توقيت طلب الوقف وتسبيبه، ولا تعني أن كل اعتراض يوقف التنفيذ أو أن كل طلب وقف سيقبل. لا تستخدم هذا النموذج تلقائيًا لدعوى إلغاء إداري أو منازعة تنفيذ.</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4">
        <w:r>
          <w:rPr>
            <w:rFonts w:ascii="IBM Plex Sans Arabic" w:hAnsi="IBM Plex Sans Arabic" w:eastAsia="IBM Plex Sans Arabic" w:cs="IBM Plex Sans Arabic"/>
            <w:color w:val="4B2E22"/>
            <w:sz w:val="19"/>
            <w:szCs w:val="19"/>
            <w:rtl w:val="1"/>
          </w:rPr>
          <w:t>اللائحة التنفيذية لطرق الاعتراض على الأحكام — المادة ١١</w:t>
        </w:r>
      </w:hyperlink>
    </w:p>
    <w:p>
      <w:pPr>
        <w:bidi w:val="1"/>
        <w:spacing w:after="100"/>
        <w:jc w:val="right"/>
      </w:pPr>
      <w:r>
        <w:rPr>
          <w:rFonts w:ascii="IBM Plex Sans Arabic" w:hAnsi="IBM Plex Sans Arabic" w:eastAsia="IBM Plex Sans Arabic" w:cs="IBM Plex Sans Arabic"/>
          <w:b w:val="0"/>
          <w:color w:val="6B6059"/>
          <w:sz w:val="19"/>
          <w:rtl w:val="1"/>
          <w:szCs w:val="19"/>
        </w:rPr>
        <w:t>تقديم طلب الوقف خلال مدة الاعتراض مع بيان أسبابه وآثار التنفيذ؛ تُراجع شروط طريق الاعتراض أيضًا.</w:t>
      </w:r>
    </w:p>
    <w:p>
      <w:pPr>
        <w:keepNext/>
        <w:pageBreakBefore/>
        <w:bidi w:val="1"/>
        <w:jc w:val="right"/>
      </w:pPr>
      <w:r>
        <w:rPr>
          <w:rFonts w:ascii="IBM Plex Sans Arabic" w:hAnsi="IBM Plex Sans Arabic" w:eastAsia="IBM Plex Sans Arabic" w:cs="IBM Plex Sans Arabic"/>
          <w:b w:val="0"/>
          <w:color w:val="4B2E22"/>
          <w:sz w:val="20"/>
          <w:rtl w:val="1"/>
          <w:szCs w:val="20"/>
        </w:rPr>
        <w:t>دفوع  ·  ٧</w:t>
      </w:r>
    </w:p>
    <w:p>
      <w:pPr>
        <w:pStyle w:val="Heading1"/>
        <w:bidi w:val="1"/>
        <w:jc w:val="right"/>
      </w:pPr>
      <w:r>
        <w:rPr>
          <w:rFonts w:ascii="IBM Plex Sans Arabic" w:hAnsi="IBM Plex Sans Arabic" w:eastAsia="IBM Plex Sans Arabic" w:cs="IBM Plex Sans Arabic"/>
          <w:b/>
          <w:rtl w:val="1"/>
          <w:bCs w:val="1"/>
        </w:rPr>
        <w:t>دفع بعدم الاختصاص المكاني</w:t>
      </w:r>
    </w:p>
    <w:p>
      <w:pPr>
        <w:bidi w:val="1"/>
        <w:jc w:val="right"/>
      </w:pPr>
      <w:r>
        <w:rPr>
          <w:rFonts w:ascii="IBM Plex Sans Arabic" w:hAnsi="IBM Plex Sans Arabic" w:eastAsia="IBM Plex Sans Arabic" w:cs="IBM Plex Sans Arabic"/>
          <w:b w:val="0"/>
          <w:color w:val="6B6059"/>
          <w:rtl w:val="1"/>
        </w:rPr>
        <w:t>قبل الدخول في الطلب أو الدفاع أو الدفع بعدم القبول، في نطاق نظام المرافعات الشرعية.</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قبل إبداء أي طلب أو دفاع في الدعوى أو دفع بعدم القبول، ندفع بعدم الاختصاص المكاني لهذه المحكمة، لأن [سبب الاختصاص المكاني وفق القاعدة المنطبقة]، كما يثبته [المستند]. ونطلب الفصل في هذا الدفع وفق أحكام الاختصاص المطبقة على الدعوى.</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المادة ٧٥ تتعلق بوقت الدفع وسقوط الحق فيه؛ ليست وحدها قاعدة لتحديد المحكمة المختصة. حدد القاعدة المكانية الخاصة بنوع الدعوى قبل الاستخدام.</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1">
        <w:r>
          <w:rPr>
            <w:rFonts w:ascii="IBM Plex Sans Arabic" w:hAnsi="IBM Plex Sans Arabic" w:eastAsia="IBM Plex Sans Arabic" w:cs="IBM Plex Sans Arabic"/>
            <w:color w:val="4B2E22"/>
            <w:sz w:val="19"/>
            <w:szCs w:val="19"/>
            <w:rtl w:val="1"/>
          </w:rPr>
          <w:t>نظام المرافعات الشرعية — المادة ٧٥</w:t>
        </w:r>
      </w:hyperlink>
    </w:p>
    <w:p>
      <w:pPr>
        <w:bidi w:val="1"/>
        <w:spacing w:after="100"/>
        <w:jc w:val="right"/>
      </w:pPr>
      <w:r>
        <w:rPr>
          <w:rFonts w:ascii="IBM Plex Sans Arabic" w:hAnsi="IBM Plex Sans Arabic" w:eastAsia="IBM Plex Sans Arabic" w:cs="IBM Plex Sans Arabic"/>
          <w:b w:val="0"/>
          <w:color w:val="6B6059"/>
          <w:sz w:val="19"/>
          <w:rtl w:val="1"/>
          <w:szCs w:val="19"/>
        </w:rPr>
        <w:t>وقت إبداء الدفع بعدم الاختصاص المكاني وسقوط الحق فيه.</w:t>
      </w:r>
    </w:p>
    <w:p>
      <w:pPr>
        <w:keepNext/>
        <w:pageBreakBefore/>
        <w:bidi w:val="1"/>
        <w:jc w:val="right"/>
      </w:pPr>
      <w:r>
        <w:rPr>
          <w:rFonts w:ascii="IBM Plex Sans Arabic" w:hAnsi="IBM Plex Sans Arabic" w:eastAsia="IBM Plex Sans Arabic" w:cs="IBM Plex Sans Arabic"/>
          <w:b w:val="0"/>
          <w:color w:val="4B2E22"/>
          <w:sz w:val="20"/>
          <w:rtl w:val="1"/>
          <w:szCs w:val="20"/>
        </w:rPr>
        <w:t>دفوع  ·  ٨</w:t>
      </w:r>
    </w:p>
    <w:p>
      <w:pPr>
        <w:pStyle w:val="Heading1"/>
        <w:bidi w:val="1"/>
        <w:jc w:val="right"/>
      </w:pPr>
      <w:r>
        <w:rPr>
          <w:rFonts w:ascii="IBM Plex Sans Arabic" w:hAnsi="IBM Plex Sans Arabic" w:eastAsia="IBM Plex Sans Arabic" w:cs="IBM Plex Sans Arabic"/>
          <w:b/>
          <w:rtl w:val="1"/>
          <w:bCs w:val="1"/>
        </w:rPr>
        <w:t>دفع بعدم قبول الدعوى لانعدام الصفة</w:t>
      </w:r>
    </w:p>
    <w:p>
      <w:pPr>
        <w:bidi w:val="1"/>
        <w:jc w:val="right"/>
      </w:pPr>
      <w:r>
        <w:rPr>
          <w:rFonts w:ascii="IBM Plex Sans Arabic" w:hAnsi="IBM Plex Sans Arabic" w:eastAsia="IBM Plex Sans Arabic" w:cs="IBM Plex Sans Arabic"/>
          <w:b w:val="0"/>
          <w:color w:val="6B6059"/>
          <w:rtl w:val="1"/>
        </w:rPr>
        <w:t>عندما لا تتوافر صفة المدعي أو المدعى عليه في العلاقة المطالب بها.</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ندفع بعدم قبول الدعوى لانعدام صفة [المدعي أو المدعى عليه]؛ إذ إن [شرح العلاقة ومن طرفها الصحيح]، ويؤيد ذلك المستند رقم [الرقم]. ونطلب الحكم بعدم القبول لهذا السبب، مع بيان أن الدفع يتعلق بالصفة لا بمجرد عدم ثبوت أصل الحق.</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لا تسمّ ضعف الدليل انعدام صفة. إذا كان العيب في صفة المدعى عليه، تراعي المحكمة حكم المادة ٧٦ في تبليغ ذي الصفة، فلا يعد هذا النموذج وعدًا بإنهاء القضية فورًا.</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1">
        <w:r>
          <w:rPr>
            <w:rFonts w:ascii="IBM Plex Sans Arabic" w:hAnsi="IBM Plex Sans Arabic" w:eastAsia="IBM Plex Sans Arabic" w:cs="IBM Plex Sans Arabic"/>
            <w:color w:val="4B2E22"/>
            <w:sz w:val="19"/>
            <w:szCs w:val="19"/>
            <w:rtl w:val="1"/>
          </w:rPr>
          <w:t>نظام المرافعات الشرعية — المادة ٧٦</w:t>
        </w:r>
      </w:hyperlink>
    </w:p>
    <w:p>
      <w:pPr>
        <w:bidi w:val="1"/>
        <w:spacing w:after="100"/>
        <w:jc w:val="right"/>
      </w:pPr>
      <w:r>
        <w:rPr>
          <w:rFonts w:ascii="IBM Plex Sans Arabic" w:hAnsi="IBM Plex Sans Arabic" w:eastAsia="IBM Plex Sans Arabic" w:cs="IBM Plex Sans Arabic"/>
          <w:b w:val="0"/>
          <w:color w:val="6B6059"/>
          <w:sz w:val="19"/>
          <w:rtl w:val="1"/>
          <w:szCs w:val="19"/>
        </w:rPr>
        <w:t>الدفع بعدم القبول لانتفاء الصفة وإمكان إبدائه في أي مرحلة، وحكم تبليغ ذي الصفة.</w:t>
      </w:r>
    </w:p>
    <w:p>
      <w:pPr>
        <w:keepNext/>
        <w:pageBreakBefore/>
        <w:bidi w:val="1"/>
        <w:jc w:val="right"/>
      </w:pPr>
      <w:r>
        <w:rPr>
          <w:rFonts w:ascii="IBM Plex Sans Arabic" w:hAnsi="IBM Plex Sans Arabic" w:eastAsia="IBM Plex Sans Arabic" w:cs="IBM Plex Sans Arabic"/>
          <w:b w:val="0"/>
          <w:color w:val="4B2E22"/>
          <w:sz w:val="20"/>
          <w:rtl w:val="1"/>
          <w:szCs w:val="20"/>
        </w:rPr>
        <w:t>دفوع  ·  ٩</w:t>
      </w:r>
    </w:p>
    <w:p>
      <w:pPr>
        <w:pStyle w:val="Heading1"/>
        <w:bidi w:val="1"/>
        <w:jc w:val="right"/>
      </w:pPr>
      <w:r>
        <w:rPr>
          <w:rFonts w:ascii="IBM Plex Sans Arabic" w:hAnsi="IBM Plex Sans Arabic" w:eastAsia="IBM Plex Sans Arabic" w:cs="IBM Plex Sans Arabic"/>
          <w:b/>
          <w:rtl w:val="1"/>
          <w:bCs w:val="1"/>
        </w:rPr>
        <w:t>دفع بالسداد الجزئي</w:t>
      </w:r>
    </w:p>
    <w:p>
      <w:pPr>
        <w:bidi w:val="1"/>
        <w:jc w:val="right"/>
      </w:pPr>
      <w:r>
        <w:rPr>
          <w:rFonts w:ascii="IBM Plex Sans Arabic" w:hAnsi="IBM Plex Sans Arabic" w:eastAsia="IBM Plex Sans Arabic" w:cs="IBM Plex Sans Arabic"/>
          <w:b w:val="0"/>
          <w:color w:val="6B6059"/>
          <w:rtl w:val="1"/>
        </w:rPr>
        <w:t>لبيان أثر دفعة ثابتة في مبلغ المطالبة.</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تتضمن المطالبة مبلغًا سبق سداده قدره [الدفعة] ريال بتاريخ [التاريخ] بموجب [دليل السداد]. وتخص هذه الدفعة الالتزام محل الدعوى، كما يظهر من [وجه الربط]. لذلك نطلب استبعاد المبلغ المسدد من الحساب، وبيان المتبقي بعد مطابقة باقي البنود، دون التسليم بما لا يثبته هذا الحساب.</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اربط التحويل بالدين محل الدعوى. عبارة السداد قد تتضمن إقرارًا بأصل العلاقة أو بعض الدين بحسب سياقها؛ راجعها مع الموكل ولا تضع تحفظًا يناقض الواقعة صوريًا.</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3">
        <w:r>
          <w:rPr>
            <w:rFonts w:ascii="IBM Plex Sans Arabic" w:hAnsi="IBM Plex Sans Arabic" w:eastAsia="IBM Plex Sans Arabic" w:cs="IBM Plex Sans Arabic"/>
            <w:color w:val="4B2E22"/>
            <w:sz w:val="19"/>
            <w:szCs w:val="19"/>
            <w:rtl w:val="1"/>
          </w:rPr>
          <w:t>نظام الإثبات — المواد ٢ و١٤ و١٧ و١٨</w:t>
        </w:r>
      </w:hyperlink>
    </w:p>
    <w:p>
      <w:pPr>
        <w:bidi w:val="1"/>
        <w:spacing w:after="100"/>
        <w:jc w:val="right"/>
      </w:pPr>
      <w:r>
        <w:rPr>
          <w:rFonts w:ascii="IBM Plex Sans Arabic" w:hAnsi="IBM Plex Sans Arabic" w:eastAsia="IBM Plex Sans Arabic" w:cs="IBM Plex Sans Arabic"/>
          <w:b w:val="0"/>
          <w:color w:val="6B6059"/>
          <w:sz w:val="19"/>
          <w:rtl w:val="1"/>
          <w:szCs w:val="19"/>
        </w:rPr>
        <w:t>إثبات السداد وأثر ما قد تتضمنه الصياغة من إقرار قضائي.</w:t>
      </w:r>
    </w:p>
    <w:p>
      <w:pPr>
        <w:keepNext/>
        <w:pageBreakBefore/>
        <w:bidi w:val="1"/>
        <w:jc w:val="right"/>
      </w:pPr>
      <w:r>
        <w:rPr>
          <w:rFonts w:ascii="IBM Plex Sans Arabic" w:hAnsi="IBM Plex Sans Arabic" w:eastAsia="IBM Plex Sans Arabic" w:cs="IBM Plex Sans Arabic"/>
          <w:b w:val="0"/>
          <w:color w:val="4B2E22"/>
          <w:sz w:val="20"/>
          <w:rtl w:val="1"/>
          <w:szCs w:val="20"/>
        </w:rPr>
        <w:t>اعتراضات  ·  ١٠</w:t>
      </w:r>
    </w:p>
    <w:p>
      <w:pPr>
        <w:pStyle w:val="Heading1"/>
        <w:bidi w:val="1"/>
        <w:jc w:val="right"/>
      </w:pPr>
      <w:r>
        <w:rPr>
          <w:rFonts w:ascii="IBM Plex Sans Arabic" w:hAnsi="IBM Plex Sans Arabic" w:eastAsia="IBM Plex Sans Arabic" w:cs="IBM Plex Sans Arabic"/>
          <w:b/>
          <w:rtl w:val="1"/>
          <w:bCs w:val="1"/>
        </w:rPr>
        <w:t>سبب اعتراض على حساب المبلغ</w:t>
      </w:r>
    </w:p>
    <w:p>
      <w:pPr>
        <w:bidi w:val="1"/>
        <w:jc w:val="right"/>
      </w:pPr>
      <w:r>
        <w:rPr>
          <w:rFonts w:ascii="IBM Plex Sans Arabic" w:hAnsi="IBM Plex Sans Arabic" w:eastAsia="IBM Plex Sans Arabic" w:cs="IBM Plex Sans Arabic"/>
          <w:b w:val="0"/>
          <w:color w:val="6B6059"/>
          <w:rtl w:val="1"/>
        </w:rPr>
        <w:t>إذا كان الخطأ مؤثرًا في المبلغ المحكوم به وله أصل في الملف.</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قضى الحكم بإلزام المعترض بمبلغ [المحكوم] ريال، على أساس [الحساب الذي اعتمده]. إلا أن المستند رقم [الرقم] المقدم بتاريخ [التاريخ] يثبت [الدفعة أو التخفيض] بمبلغ [المبلغ] ريال، ولم يحتسب الحكم أثره في [الموضع]. وبإعماله يصبح المتبقي [الصحيح] ريال. لذلك نطلب تعديل المبلغ المحكوم به إلى [الصحيح] ريال، للأسباب والحساب المبينين.</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إذا كان الخطأ ماديًا بحتًا، افحص طريق تصحيحه بدل استخدام اعتراض لا يناسب الحالة. هذا سبب واحد؛ أضف بيانات الحكم والخصوم والأسباب والطلبات والصفة، وراجع قابلية الحكم والميعاد.</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1">
        <w:r>
          <w:rPr>
            <w:rFonts w:ascii="IBM Plex Sans Arabic" w:hAnsi="IBM Plex Sans Arabic" w:eastAsia="IBM Plex Sans Arabic" w:cs="IBM Plex Sans Arabic"/>
            <w:color w:val="4B2E22"/>
            <w:sz w:val="19"/>
            <w:szCs w:val="19"/>
            <w:rtl w:val="1"/>
          </w:rPr>
          <w:t>نظام المرافعات الشرعية — المادة ١٨٨</w:t>
        </w:r>
      </w:hyperlink>
    </w:p>
    <w:p>
      <w:pPr>
        <w:bidi w:val="1"/>
        <w:spacing w:after="100"/>
        <w:jc w:val="right"/>
      </w:pPr>
      <w:r>
        <w:rPr>
          <w:rFonts w:ascii="IBM Plex Sans Arabic" w:hAnsi="IBM Plex Sans Arabic" w:eastAsia="IBM Plex Sans Arabic" w:cs="IBM Plex Sans Arabic"/>
          <w:b w:val="0"/>
          <w:color w:val="6B6059"/>
          <w:sz w:val="19"/>
          <w:rtl w:val="1"/>
          <w:szCs w:val="19"/>
        </w:rPr>
        <w:t>بيانات مذكرة الاعتراض بطلب الاستئناف أو التدقيق.</w:t>
      </w:r>
    </w:p>
    <w:p>
      <w:pPr>
        <w:keepNext/>
        <w:bidi w:val="1"/>
        <w:spacing w:after="100"/>
        <w:jc w:val="right"/>
      </w:pPr>
      <w:r>
        <w:rPr>
          <w:rFonts w:ascii="IBM Plex Sans Arabic" w:hAnsi="IBM Plex Sans Arabic" w:eastAsia="IBM Plex Sans Arabic" w:cs="IBM Plex Sans Arabic"/>
          <w:b w:val="0"/>
          <w:rtl w:val="1"/>
        </w:rPr>
      </w:r>
      <w:hyperlink r:id="rId14">
        <w:r>
          <w:rPr>
            <w:rFonts w:ascii="IBM Plex Sans Arabic" w:hAnsi="IBM Plex Sans Arabic" w:eastAsia="IBM Plex Sans Arabic" w:cs="IBM Plex Sans Arabic"/>
            <w:color w:val="4B2E22"/>
            <w:sz w:val="19"/>
            <w:szCs w:val="19"/>
            <w:rtl w:val="1"/>
          </w:rPr>
          <w:t>اللائحة التنفيذية لطرق الاعتراض على الأحكام — المادة ١٠</w:t>
        </w:r>
      </w:hyperlink>
    </w:p>
    <w:p>
      <w:pPr>
        <w:bidi w:val="1"/>
        <w:spacing w:after="100"/>
        <w:jc w:val="right"/>
      </w:pPr>
      <w:r>
        <w:rPr>
          <w:rFonts w:ascii="IBM Plex Sans Arabic" w:hAnsi="IBM Plex Sans Arabic" w:eastAsia="IBM Plex Sans Arabic" w:cs="IBM Plex Sans Arabic"/>
          <w:b w:val="0"/>
          <w:color w:val="6B6059"/>
          <w:sz w:val="19"/>
          <w:rtl w:val="1"/>
          <w:szCs w:val="19"/>
        </w:rPr>
        <w:t>بيان أسباب الاعتراض وطلباته وإرفاق وثيقة صفة الممثل إن وجد.</w:t>
      </w:r>
    </w:p>
    <w:p>
      <w:pPr>
        <w:keepNext/>
        <w:pageBreakBefore/>
        <w:bidi w:val="1"/>
        <w:jc w:val="right"/>
      </w:pPr>
      <w:r>
        <w:rPr>
          <w:rFonts w:ascii="IBM Plex Sans Arabic" w:hAnsi="IBM Plex Sans Arabic" w:eastAsia="IBM Plex Sans Arabic" w:cs="IBM Plex Sans Arabic"/>
          <w:b w:val="0"/>
          <w:color w:val="4B2E22"/>
          <w:sz w:val="20"/>
          <w:rtl w:val="1"/>
          <w:szCs w:val="20"/>
        </w:rPr>
        <w:t>اعتراضات  ·  ١١</w:t>
      </w:r>
    </w:p>
    <w:p>
      <w:pPr>
        <w:pStyle w:val="Heading1"/>
        <w:bidi w:val="1"/>
        <w:jc w:val="right"/>
      </w:pPr>
      <w:r>
        <w:rPr>
          <w:rFonts w:ascii="IBM Plex Sans Arabic" w:hAnsi="IBM Plex Sans Arabic" w:eastAsia="IBM Plex Sans Arabic" w:cs="IBM Plex Sans Arabic"/>
          <w:b/>
          <w:rtl w:val="1"/>
          <w:bCs w:val="1"/>
        </w:rPr>
        <w:t>سبب اعتراض متعلق بدفع جوهري</w:t>
      </w:r>
    </w:p>
    <w:p>
      <w:pPr>
        <w:bidi w:val="1"/>
        <w:jc w:val="right"/>
      </w:pPr>
      <w:r>
        <w:rPr>
          <w:rFonts w:ascii="IBM Plex Sans Arabic" w:hAnsi="IBM Plex Sans Arabic" w:eastAsia="IBM Plex Sans Arabic" w:cs="IBM Plex Sans Arabic"/>
          <w:b w:val="0"/>
          <w:color w:val="6B6059"/>
          <w:rtl w:val="1"/>
        </w:rPr>
        <w:t>لتعيين دفع مؤثر أغفل الحكم مناقشته، لا لتكرار جميع المذكرات.</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سبق إبداء الدفع بـ[الدفع] في المذكرة المؤرخة [التاريخ]، وأُرفق به المستند رقم [الرقم]. ويؤثر هذا الدفع في النتيجة لأنه [الأثر المحدد]. ولم يتناول الحكم هذا الدفع في أسبابه. لذلك نطلب [الطلب المناسب لطريق الاعتراض]، مع فحص الدفع ومستنده وأثرهما في النتيجة.</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إذا ناقش الحكم الدفع ورفضه، اذكر سبب الرفض ووجه الخطأ فيه بدل الادعاء بالإغفال. المادة ١٨ تخاطب المحكمة التي تنظر الاعتراض؛ لا تعممها على كل جهة قضائية، ولا يضمن النموذج نقض الحكم.</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4">
        <w:r>
          <w:rPr>
            <w:rFonts w:ascii="IBM Plex Sans Arabic" w:hAnsi="IBM Plex Sans Arabic" w:eastAsia="IBM Plex Sans Arabic" w:cs="IBM Plex Sans Arabic"/>
            <w:color w:val="4B2E22"/>
            <w:sz w:val="19"/>
            <w:szCs w:val="19"/>
            <w:rtl w:val="1"/>
          </w:rPr>
          <w:t>اللائحة التنفيذية لطرق الاعتراض على الأحكام — المادة ١٨</w:t>
        </w:r>
      </w:hyperlink>
    </w:p>
    <w:p>
      <w:pPr>
        <w:bidi w:val="1"/>
        <w:spacing w:after="100"/>
        <w:jc w:val="right"/>
      </w:pPr>
      <w:r>
        <w:rPr>
          <w:rFonts w:ascii="IBM Plex Sans Arabic" w:hAnsi="IBM Plex Sans Arabic" w:eastAsia="IBM Plex Sans Arabic" w:cs="IBM Plex Sans Arabic"/>
          <w:b w:val="0"/>
          <w:color w:val="6B6059"/>
          <w:sz w:val="19"/>
          <w:rtl w:val="1"/>
          <w:szCs w:val="19"/>
        </w:rPr>
        <w:t>تسبيب حكم المحكمة التي تنظر الاعتراض والرد على الأسباب والدفوع والتصريح بالدفع الجوهري.</w:t>
      </w:r>
    </w:p>
    <w:p>
      <w:pPr>
        <w:keepNext/>
        <w:pageBreakBefore/>
        <w:bidi w:val="1"/>
        <w:jc w:val="right"/>
      </w:pPr>
      <w:r>
        <w:rPr>
          <w:rFonts w:ascii="IBM Plex Sans Arabic" w:hAnsi="IBM Plex Sans Arabic" w:eastAsia="IBM Plex Sans Arabic" w:cs="IBM Plex Sans Arabic"/>
          <w:b w:val="0"/>
          <w:color w:val="4B2E22"/>
          <w:sz w:val="20"/>
          <w:rtl w:val="1"/>
          <w:szCs w:val="20"/>
        </w:rPr>
        <w:t>اعتراضات  ·  ١٢</w:t>
      </w:r>
    </w:p>
    <w:p>
      <w:pPr>
        <w:pStyle w:val="Heading1"/>
        <w:bidi w:val="1"/>
        <w:jc w:val="right"/>
      </w:pPr>
      <w:r>
        <w:rPr>
          <w:rFonts w:ascii="IBM Plex Sans Arabic" w:hAnsi="IBM Plex Sans Arabic" w:eastAsia="IBM Plex Sans Arabic" w:cs="IBM Plex Sans Arabic"/>
          <w:b/>
          <w:rtl w:val="1"/>
          <w:bCs w:val="1"/>
        </w:rPr>
        <w:t>تقديم دليل جديد في الاستئناف</w:t>
      </w:r>
    </w:p>
    <w:p>
      <w:pPr>
        <w:bidi w:val="1"/>
        <w:jc w:val="right"/>
      </w:pPr>
      <w:r>
        <w:rPr>
          <w:rFonts w:ascii="IBM Plex Sans Arabic" w:hAnsi="IBM Plex Sans Arabic" w:eastAsia="IBM Plex Sans Arabic" w:cs="IBM Plex Sans Arabic"/>
          <w:b w:val="0"/>
          <w:color w:val="6B6059"/>
          <w:rtl w:val="1"/>
        </w:rPr>
        <w:t>مع شرح سبب عدم تقديمه سابقًا، دون افتراض قبوله تلقائيًا.</w:t>
      </w:r>
    </w:p>
    <w:p>
      <w:pPr>
        <w:pStyle w:val="Heading2"/>
        <w:bidi w:val="1"/>
        <w:jc w:val="right"/>
      </w:pPr>
      <w:r>
        <w:rPr>
          <w:rFonts w:ascii="IBM Plex Sans Arabic" w:hAnsi="IBM Plex Sans Arabic" w:eastAsia="IBM Plex Sans Arabic" w:cs="IBM Plex Sans Arabic"/>
          <w:b/>
          <w:rtl w:val="1"/>
          <w:bCs w:val="1"/>
        </w:rPr>
        <w:t>الصيغة</w:t>
      </w:r>
    </w:p>
    <w:p>
      <w:pPr>
        <w:keepLines/>
        <w:bidi w:val="1"/>
        <w:jc w:val="right"/>
      </w:pPr>
      <w:r>
        <w:rPr>
          <w:rFonts w:ascii="IBM Plex Sans Arabic" w:hAnsi="IBM Plex Sans Arabic" w:eastAsia="IBM Plex Sans Arabic" w:cs="IBM Plex Sans Arabic"/>
          <w:b w:val="0"/>
          <w:rtl w:val="1"/>
        </w:rPr>
        <w:t>نقدم المستند [الاسم] المؤرخ [التاريخ]، الذي يثبت [الواقعة المؤثرة]. ولم يقدم أمام محكمة الدرجة الأولى بسبب [السبب الحقيقي ودليله]. ونطلب النظر في قبوله لارتباطه بـ[وجه التأثير]، مع بيان مقتضى قبوله وفق الأحكام المنظمة للإثبات في الاستئناف.</w:t>
      </w:r>
    </w:p>
    <w:p>
      <w:pPr>
        <w:pStyle w:val="Heading2"/>
        <w:bidi w:val="1"/>
        <w:jc w:val="right"/>
      </w:pPr>
      <w:r>
        <w:rPr>
          <w:rFonts w:ascii="IBM Plex Sans Arabic" w:hAnsi="IBM Plex Sans Arabic" w:eastAsia="IBM Plex Sans Arabic" w:cs="IBM Plex Sans Arabic"/>
          <w:b/>
          <w:rtl w:val="1"/>
          <w:bCs w:val="1"/>
        </w:rPr>
        <w:t>قبل الاستخدام</w:t>
      </w:r>
    </w:p>
    <w:p>
      <w:pPr>
        <w:bidi w:val="1"/>
        <w:jc w:val="right"/>
      </w:pPr>
      <w:r>
        <w:rPr>
          <w:rFonts w:ascii="IBM Plex Sans Arabic" w:hAnsi="IBM Plex Sans Arabic" w:eastAsia="IBM Plex Sans Arabic" w:cs="IBM Plex Sans Arabic"/>
          <w:b w:val="0"/>
          <w:sz w:val="21"/>
          <w:rtl w:val="1"/>
          <w:szCs w:val="21"/>
        </w:rPr>
        <w:t>إذا كان يمكن تقديم الدليل أمام الدرجة الأولى، فالمادة ٢١ لا تجعل قبوله حقًا تلقائيًا؛ يلزم مقتضٍ تبينه المحكمة في حكمها. لا تختلق عذرًا أو تاريخ اكتشاف.</w:t>
      </w:r>
    </w:p>
    <w:p>
      <w:pPr>
        <w:pStyle w:val="Heading2"/>
        <w:bidi w:val="1"/>
        <w:jc w:val="right"/>
      </w:pPr>
      <w:r>
        <w:rPr>
          <w:rFonts w:ascii="IBM Plex Sans Arabic" w:hAnsi="IBM Plex Sans Arabic" w:eastAsia="IBM Plex Sans Arabic" w:cs="IBM Plex Sans Arabic"/>
          <w:b/>
          <w:rtl w:val="1"/>
          <w:bCs w:val="1"/>
        </w:rPr>
        <w:t>السند وحدوده</w:t>
      </w:r>
    </w:p>
    <w:p>
      <w:pPr>
        <w:keepNext/>
        <w:bidi w:val="1"/>
        <w:spacing w:after="100"/>
        <w:jc w:val="right"/>
      </w:pPr>
      <w:r>
        <w:rPr>
          <w:rFonts w:ascii="IBM Plex Sans Arabic" w:hAnsi="IBM Plex Sans Arabic" w:eastAsia="IBM Plex Sans Arabic" w:cs="IBM Plex Sans Arabic"/>
          <w:b w:val="0"/>
          <w:rtl w:val="1"/>
        </w:rPr>
      </w:r>
      <w:hyperlink r:id="rId14">
        <w:r>
          <w:rPr>
            <w:rFonts w:ascii="IBM Plex Sans Arabic" w:hAnsi="IBM Plex Sans Arabic" w:eastAsia="IBM Plex Sans Arabic" w:cs="IBM Plex Sans Arabic"/>
            <w:color w:val="4B2E22"/>
            <w:sz w:val="19"/>
            <w:szCs w:val="19"/>
            <w:rtl w:val="1"/>
          </w:rPr>
          <w:t>اللائحة التنفيذية لطرق الاعتراض على الأحكام — المادة ٢١</w:t>
        </w:r>
      </w:hyperlink>
    </w:p>
    <w:p>
      <w:pPr>
        <w:bidi w:val="1"/>
        <w:spacing w:after="100"/>
        <w:jc w:val="right"/>
      </w:pPr>
      <w:r>
        <w:rPr>
          <w:rFonts w:ascii="IBM Plex Sans Arabic" w:hAnsi="IBM Plex Sans Arabic" w:eastAsia="IBM Plex Sans Arabic" w:cs="IBM Plex Sans Arabic"/>
          <w:b w:val="0"/>
          <w:color w:val="6B6059"/>
          <w:sz w:val="19"/>
          <w:rtl w:val="1"/>
          <w:szCs w:val="19"/>
        </w:rPr>
        <w:t>قيود قبول الأدلة التي كان يمكن تقديمها أمام محكمة الدرجة الأولى.</w:t>
      </w:r>
    </w:p>
    <w:sectPr w:rsidR="00FC693F" w:rsidRPr="0006063C" w:rsidSect="00034616">
      <w:headerReference w:type="default" r:id="rId9"/>
      <w:footerReference w:type="default" r:id="rId10"/>
      <w:pgSz w:w="9638" w:h="13606"/>
      <w:pgMar w:top="1077" w:right="992" w:bottom="935" w:left="992" w:header="595" w:footer="584" w:gutter="0"/>
      <w:cols w:space="720"/>
      <w:docGrid w:linePitch="360"/>
      <w:pgBorders w:offsetFrom="page">
        <w:top w:val="single" w:sz="7" w:space="24" w:color="4B2E22"/>
        <w:left w:val="single" w:sz="7" w:space="24" w:color="4B2E22"/>
        <w:bottom w:val="single" w:sz="7" w:space="24" w:color="4B2E22"/>
        <w:right w:val="single" w:sz="7" w:space="24" w:color="4B2E22"/>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BM Plex Sans Arabic">
    <w:embedRegular r:id="rId1" w:fontKey="{AF086A49-5210-48D7-B979-C06CA59CC409}"/>
    <w:embedBold r:id="rId2" w:fontKey="{F1988950-1E67-4B69-9A20-7670C540748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rFonts w:ascii="IBM Plex Sans Arabic" w:hAnsi="IBM Plex Sans Arabic" w:eastAsia="IBM Plex Sans Arabic" w:cs="IBM Plex Sans Arabic"/>
        <w:b w:val="0"/>
        <w:color w:val="6B6059"/>
        <w:sz w:val="16"/>
        <w:rtl w:val="1"/>
        <w:szCs w:val="16"/>
      </w:rPr>
      <w:t>المرجع القانوني  ·  ملحق الصيغ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80" w:lineRule="exact" w:after="180"/>
    </w:pPr>
    <w:rPr>
      <w:rFonts w:ascii="IBM Plex Sans Arabic" w:hAnsi="IBM Plex Sans Arabic" w:eastAsia="IBM Plex Sans Arabic" w:cs="IBM Plex Sans Arabic"/>
      <w:b w:val="0"/>
      <w:color w:val="000000"/>
      <w:sz w:val="23"/>
      <w:szCs w:val="23"/>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80" w:line="288" w:lineRule="auto"/>
      <w:outlineLvl w:val="0"/>
    </w:pPr>
    <w:rPr>
      <w:rFonts w:asciiTheme="majorHAnsi" w:eastAsiaTheme="majorEastAsia" w:hAnsiTheme="majorHAnsi" w:cstheme="majorBidi" w:ascii="IBM Plex Sans Arabic" w:hAnsi="IBM Plex Sans Arabic" w:eastAsia="IBM Plex Sans Arabic" w:cs="IBM Plex Sans Arabic"/>
      <w:b/>
      <w:bCs/>
      <w:color w:val="000000"/>
      <w:sz w:val="46"/>
      <w:szCs w:val="28"/>
      <w:szCs w:val="46"/>
      <w:bCs w:val="1"/>
    </w:rPr>
  </w:style>
  <w:style w:type="paragraph" w:styleId="Heading2">
    <w:name w:val="heading 2"/>
    <w:basedOn w:val="Normal"/>
    <w:next w:val="Normal"/>
    <w:link w:val="Heading2Char"/>
    <w:uiPriority w:val="9"/>
    <w:unhideWhenUsed/>
    <w:qFormat/>
    <w:rsid w:val="00FC693F"/>
    <w:pPr>
      <w:keepNext/>
      <w:keepLines/>
      <w:widowControl/>
      <w:spacing w:before="280" w:after="180" w:line="288" w:lineRule="auto"/>
      <w:outlineLvl w:val="1"/>
    </w:pPr>
    <w:rPr>
      <w:rFonts w:asciiTheme="majorHAnsi" w:eastAsiaTheme="majorEastAsia" w:hAnsiTheme="majorHAnsi" w:cstheme="majorBidi" w:ascii="IBM Plex Sans Arabic" w:hAnsi="IBM Plex Sans Arabic" w:eastAsia="IBM Plex Sans Arabic" w:cs="IBM Plex Sans Arabic"/>
      <w:b/>
      <w:bCs/>
      <w:color w:val="000000"/>
      <w:sz w:val="28"/>
      <w:szCs w:val="26"/>
      <w:szCs w:val="28"/>
      <w:bCs w:val="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320" w:line="276" w:lineRule="auto"/>
      <w:contextualSpacing/>
    </w:pPr>
    <w:rPr>
      <w:rFonts w:asciiTheme="majorHAnsi" w:eastAsiaTheme="majorEastAsia" w:hAnsiTheme="majorHAnsi" w:cstheme="majorBidi" w:ascii="IBM Plex Sans Arabic" w:hAnsi="IBM Plex Sans Arabic" w:eastAsia="IBM Plex Sans Arabic" w:cs="IBM Plex Sans Arabic"/>
      <w:b/>
      <w:color w:val="000000"/>
      <w:spacing w:val="5"/>
      <w:kern w:val="28"/>
      <w:sz w:val="60"/>
      <w:szCs w:val="52"/>
      <w:szCs w:val="60"/>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aws.moj.gov.sa/ar/legislation/sSe-gyvwrajdndY5P08WZg" TargetMode="External"/><Relationship Id="rId12" Type="http://schemas.openxmlformats.org/officeDocument/2006/relationships/hyperlink" Target="https://laws.moj.gov.sa/ar/legislation/PBbHmywh1XMp-Kyv3NtQLg" TargetMode="External"/><Relationship Id="rId13" Type="http://schemas.openxmlformats.org/officeDocument/2006/relationships/hyperlink" Target="https://laws.moj.gov.sa/ar/legislation/UbB0wpvasVhoTAgmYKUA7A" TargetMode="External"/><Relationship Id="rId14" Type="http://schemas.openxmlformats.org/officeDocument/2006/relationships/hyperlink" Target="https://laws.moj.gov.sa/ar/legislation/7uUvC6c0BoKLJuwB021do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rms-embedRegular.odttf"/><Relationship Id="rId2" Type="http://schemas.openxmlformats.org/officeDocument/2006/relationships/font" Target="fonts/forms-embed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مكتبة صيغ المرجع القانوني</dc:title>
  <dc:subject/>
  <dc:creator/>
  <cp:keywords/>
  <dc:description/>
  <cp:lastModifiedBy/>
  <cp:revision>1</cp:revision>
  <dcterms:created xsi:type="dcterms:W3CDTF">2013-12-23T23:15:00Z</dcterms:created>
  <dcterms:modified xsi:type="dcterms:W3CDTF">2013-12-23T23:15:00Z</dcterms:modified>
  <cp:category/>
</cp:coreProperties>
</file>